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3BBBB" w14:textId="77777777" w:rsidR="00904195" w:rsidRDefault="00904195" w:rsidP="000A6C44">
      <w:pPr>
        <w:ind w:right="480"/>
        <w:jc w:val="both"/>
      </w:pPr>
      <w:r>
        <w:t xml:space="preserve">An die </w:t>
      </w:r>
    </w:p>
    <w:p w14:paraId="43F5A004" w14:textId="77777777" w:rsidR="00904195" w:rsidRDefault="000B1D0F" w:rsidP="000A6C44">
      <w:pPr>
        <w:ind w:right="480"/>
        <w:jc w:val="both"/>
      </w:pPr>
      <w:r>
        <w:t xml:space="preserve">Landesbünde und Mitgliedsgewerkschaften </w:t>
      </w:r>
    </w:p>
    <w:p w14:paraId="4108A44D" w14:textId="77777777" w:rsidR="000B1D0F" w:rsidRDefault="000B1D0F" w:rsidP="000A6C44">
      <w:pPr>
        <w:ind w:right="480"/>
        <w:jc w:val="both"/>
      </w:pPr>
      <w:r>
        <w:t xml:space="preserve">des dbb beamtenbund und tarifunion </w:t>
      </w:r>
    </w:p>
    <w:p w14:paraId="0393F891" w14:textId="77777777" w:rsidR="00904195" w:rsidRDefault="00904195" w:rsidP="000A6C44">
      <w:pPr>
        <w:ind w:right="480"/>
        <w:jc w:val="both"/>
      </w:pPr>
    </w:p>
    <w:p w14:paraId="5EB376F1" w14:textId="77777777" w:rsidR="00904195" w:rsidRPr="000B1D0F" w:rsidRDefault="00904195" w:rsidP="000A6C44">
      <w:pPr>
        <w:ind w:right="480"/>
        <w:jc w:val="both"/>
        <w:rPr>
          <w:u w:val="single"/>
        </w:rPr>
      </w:pPr>
      <w:r w:rsidRPr="000B1D0F">
        <w:rPr>
          <w:u w:val="single"/>
        </w:rPr>
        <w:t xml:space="preserve">- je besonders - </w:t>
      </w:r>
    </w:p>
    <w:p w14:paraId="25E6D218" w14:textId="77777777" w:rsidR="00904195" w:rsidRPr="003A4DC2" w:rsidRDefault="00904195" w:rsidP="000A6C44">
      <w:pPr>
        <w:ind w:right="480"/>
        <w:jc w:val="both"/>
      </w:pPr>
    </w:p>
    <w:p w14:paraId="2316B4B1" w14:textId="2479B2E9" w:rsidR="00904195" w:rsidRPr="005C3183" w:rsidRDefault="003A4DC2" w:rsidP="000A6C44">
      <w:pPr>
        <w:tabs>
          <w:tab w:val="left" w:pos="7655"/>
        </w:tabs>
        <w:ind w:right="-512"/>
        <w:jc w:val="both"/>
        <w:rPr>
          <w:szCs w:val="24"/>
        </w:rPr>
      </w:pPr>
      <w:r>
        <w:rPr>
          <w:sz w:val="23"/>
        </w:rPr>
        <w:tab/>
      </w:r>
      <w:r w:rsidRPr="005C3183">
        <w:rPr>
          <w:szCs w:val="24"/>
        </w:rPr>
        <w:t xml:space="preserve">Berlin, </w:t>
      </w:r>
      <w:r w:rsidR="003A1427">
        <w:rPr>
          <w:szCs w:val="24"/>
        </w:rPr>
        <w:t>11</w:t>
      </w:r>
      <w:r w:rsidR="008D31A8">
        <w:rPr>
          <w:szCs w:val="24"/>
        </w:rPr>
        <w:t>.12</w:t>
      </w:r>
      <w:r w:rsidR="00E81EB0">
        <w:rPr>
          <w:szCs w:val="24"/>
        </w:rPr>
        <w:t>.</w:t>
      </w:r>
      <w:r w:rsidR="00DD0752">
        <w:rPr>
          <w:szCs w:val="24"/>
        </w:rPr>
        <w:t>2024</w:t>
      </w:r>
    </w:p>
    <w:p w14:paraId="391EB933" w14:textId="1B6A3144" w:rsidR="00904195" w:rsidRPr="00263B3E" w:rsidRDefault="003A4DC2" w:rsidP="000A6C44">
      <w:pPr>
        <w:tabs>
          <w:tab w:val="left" w:pos="7655"/>
        </w:tabs>
        <w:ind w:right="-512"/>
        <w:jc w:val="both"/>
        <w:rPr>
          <w:sz w:val="20"/>
        </w:rPr>
      </w:pPr>
      <w:r w:rsidRPr="005C3183">
        <w:rPr>
          <w:szCs w:val="24"/>
        </w:rPr>
        <w:tab/>
      </w:r>
      <w:r w:rsidRPr="00263B3E">
        <w:rPr>
          <w:sz w:val="20"/>
        </w:rPr>
        <w:t>GB-</w:t>
      </w:r>
      <w:r w:rsidR="00A03F85">
        <w:rPr>
          <w:sz w:val="20"/>
        </w:rPr>
        <w:t>1</w:t>
      </w:r>
      <w:r w:rsidRPr="00263B3E">
        <w:rPr>
          <w:sz w:val="20"/>
        </w:rPr>
        <w:t>-</w:t>
      </w:r>
      <w:r w:rsidR="00B56F4B">
        <w:rPr>
          <w:sz w:val="20"/>
        </w:rPr>
        <w:t>Br</w:t>
      </w:r>
      <w:r w:rsidR="008D31A8">
        <w:rPr>
          <w:sz w:val="20"/>
        </w:rPr>
        <w:t>-cw</w:t>
      </w:r>
    </w:p>
    <w:p w14:paraId="6AB3BDA1" w14:textId="77777777" w:rsidR="00904195" w:rsidRPr="00263B3E" w:rsidRDefault="003A4DC2" w:rsidP="000A6C44">
      <w:pPr>
        <w:tabs>
          <w:tab w:val="left" w:pos="7655"/>
        </w:tabs>
        <w:ind w:right="-512"/>
        <w:jc w:val="both"/>
        <w:rPr>
          <w:sz w:val="20"/>
        </w:rPr>
      </w:pPr>
      <w:r w:rsidRPr="00263B3E">
        <w:rPr>
          <w:sz w:val="20"/>
        </w:rPr>
        <w:tab/>
      </w:r>
      <w:r w:rsidR="00904195" w:rsidRPr="00263B3E">
        <w:rPr>
          <w:sz w:val="20"/>
        </w:rPr>
        <w:t>Durchwahl</w:t>
      </w:r>
      <w:r w:rsidR="00080FF5" w:rsidRPr="00263B3E">
        <w:rPr>
          <w:sz w:val="20"/>
        </w:rPr>
        <w:t>: -5</w:t>
      </w:r>
      <w:r w:rsidR="001436DA">
        <w:rPr>
          <w:sz w:val="20"/>
        </w:rPr>
        <w:t>0</w:t>
      </w:r>
      <w:r w:rsidR="00080FF5" w:rsidRPr="00263B3E">
        <w:rPr>
          <w:sz w:val="20"/>
        </w:rPr>
        <w:t>0</w:t>
      </w:r>
      <w:r w:rsidR="00A35F58">
        <w:rPr>
          <w:sz w:val="20"/>
        </w:rPr>
        <w:t>1</w:t>
      </w:r>
    </w:p>
    <w:p w14:paraId="0C7EBD1B" w14:textId="57277AAA" w:rsidR="00904195" w:rsidRPr="00026010" w:rsidRDefault="003A4DC2" w:rsidP="000A6C44">
      <w:pPr>
        <w:tabs>
          <w:tab w:val="left" w:pos="7655"/>
        </w:tabs>
        <w:ind w:right="-512"/>
        <w:jc w:val="both"/>
        <w:rPr>
          <w:b/>
          <w:bCs/>
          <w:szCs w:val="24"/>
        </w:rPr>
      </w:pPr>
      <w:r w:rsidRPr="00263B3E">
        <w:rPr>
          <w:b/>
          <w:bCs/>
          <w:sz w:val="20"/>
        </w:rPr>
        <w:tab/>
      </w:r>
      <w:r w:rsidR="00A03F85" w:rsidRPr="00026010">
        <w:rPr>
          <w:b/>
          <w:bCs/>
          <w:szCs w:val="24"/>
        </w:rPr>
        <w:t xml:space="preserve">Info-Nr.: </w:t>
      </w:r>
      <w:r w:rsidR="00E81EB0">
        <w:rPr>
          <w:b/>
          <w:bCs/>
          <w:szCs w:val="24"/>
        </w:rPr>
        <w:t>2</w:t>
      </w:r>
      <w:r w:rsidR="003A1427">
        <w:rPr>
          <w:b/>
          <w:bCs/>
          <w:szCs w:val="24"/>
        </w:rPr>
        <w:t>9</w:t>
      </w:r>
      <w:r w:rsidR="00A03F85" w:rsidRPr="00026010">
        <w:rPr>
          <w:b/>
          <w:bCs/>
          <w:szCs w:val="24"/>
        </w:rPr>
        <w:t>/202</w:t>
      </w:r>
      <w:r w:rsidR="00A35F58">
        <w:rPr>
          <w:b/>
          <w:bCs/>
          <w:szCs w:val="24"/>
        </w:rPr>
        <w:t>4</w:t>
      </w:r>
    </w:p>
    <w:p w14:paraId="752972B2" w14:textId="77777777" w:rsidR="00904195" w:rsidRDefault="00904195" w:rsidP="000A6C44">
      <w:pPr>
        <w:pStyle w:val="Textkrper"/>
        <w:ind w:right="480"/>
        <w:rPr>
          <w:rFonts w:ascii="TheSansOffice" w:hAnsi="TheSansOffice"/>
          <w:b w:val="0"/>
          <w:bCs w:val="0"/>
          <w:sz w:val="24"/>
        </w:rPr>
      </w:pPr>
    </w:p>
    <w:p w14:paraId="52221837" w14:textId="77777777" w:rsidR="005770B8" w:rsidRDefault="005770B8" w:rsidP="000A6C44">
      <w:pPr>
        <w:pStyle w:val="Textkrper"/>
        <w:ind w:right="480"/>
        <w:rPr>
          <w:rFonts w:ascii="TheSansOffice" w:hAnsi="TheSansOffice"/>
          <w:b w:val="0"/>
          <w:bCs w:val="0"/>
          <w:sz w:val="24"/>
        </w:rPr>
      </w:pPr>
    </w:p>
    <w:p w14:paraId="7D532B79" w14:textId="5E5236EA" w:rsidR="000A6C44" w:rsidRPr="00712654" w:rsidRDefault="006312EF" w:rsidP="002A398B">
      <w:pPr>
        <w:jc w:val="both"/>
        <w:rPr>
          <w:b/>
          <w:bCs/>
        </w:rPr>
      </w:pPr>
      <w:r>
        <w:rPr>
          <w:b/>
          <w:bCs/>
        </w:rPr>
        <w:t>EuGH: Überstundenzuschläge für Teilzeitkräfte</w:t>
      </w:r>
      <w:r w:rsidR="001436DA">
        <w:rPr>
          <w:b/>
          <w:bCs/>
        </w:rPr>
        <w:t xml:space="preserve"> </w:t>
      </w:r>
    </w:p>
    <w:p w14:paraId="7AB7CC48" w14:textId="77777777" w:rsidR="003A4DC2" w:rsidRDefault="003A4DC2" w:rsidP="000A6C44">
      <w:pPr>
        <w:pStyle w:val="Textkrper"/>
        <w:ind w:right="480"/>
        <w:rPr>
          <w:rFonts w:ascii="TheSansOffice" w:hAnsi="TheSansOffice"/>
          <w:b w:val="0"/>
          <w:bCs w:val="0"/>
          <w:sz w:val="24"/>
        </w:rPr>
      </w:pPr>
    </w:p>
    <w:p w14:paraId="7824F065" w14:textId="77777777" w:rsidR="00DD0752" w:rsidRDefault="00DD0752" w:rsidP="000A6C44">
      <w:pPr>
        <w:pStyle w:val="Textkrper"/>
        <w:ind w:right="480"/>
        <w:rPr>
          <w:rFonts w:ascii="TheSansOffice" w:hAnsi="TheSansOffice"/>
          <w:b w:val="0"/>
          <w:bCs w:val="0"/>
          <w:sz w:val="24"/>
        </w:rPr>
      </w:pPr>
    </w:p>
    <w:p w14:paraId="3C2757D7" w14:textId="77777777" w:rsidR="000A6C44" w:rsidRDefault="000A6C44" w:rsidP="000A6C44">
      <w:pPr>
        <w:jc w:val="both"/>
      </w:pPr>
      <w:r>
        <w:t xml:space="preserve">Sehr geehrte Kolleginnen und Kollegen, </w:t>
      </w:r>
    </w:p>
    <w:p w14:paraId="4E4B1B4B" w14:textId="77777777" w:rsidR="006312EF" w:rsidRDefault="006312EF" w:rsidP="000A6C44">
      <w:pPr>
        <w:jc w:val="both"/>
      </w:pPr>
    </w:p>
    <w:p w14:paraId="191A7C5C" w14:textId="51FE1BF6" w:rsidR="006312EF" w:rsidRDefault="006312EF" w:rsidP="006312EF">
      <w:pPr>
        <w:jc w:val="both"/>
      </w:pPr>
      <w:r>
        <w:t>Teilzeitbeschäftigte dürfen nicht schlechter behandelt werden, wenn es darum geht, eine erhöhte Vergütung wegen Überschreitung einer bestimmten Zahl an Arbeitsstunden zu erhalten. Dies hat der Europäische Gerichtshof (EuGH) mit Urteil vom 29. Juli 2024 (A</w:t>
      </w:r>
      <w:r w:rsidR="00574A4D">
        <w:t>z:</w:t>
      </w:r>
      <w:r>
        <w:t xml:space="preserve"> C-184/22 und C-185/22) entschieden.  </w:t>
      </w:r>
    </w:p>
    <w:p w14:paraId="28218D18" w14:textId="77777777" w:rsidR="006312EF" w:rsidRDefault="006312EF" w:rsidP="006312EF">
      <w:pPr>
        <w:jc w:val="both"/>
      </w:pPr>
    </w:p>
    <w:p w14:paraId="210D4A35" w14:textId="33D0D643" w:rsidR="00D94624" w:rsidRDefault="00D94624" w:rsidP="00D94624">
      <w:pPr>
        <w:jc w:val="both"/>
      </w:pPr>
      <w:r>
        <w:t>In dem Verfahren, dass das Bundesarbeitsgericht (BAG) dem E</w:t>
      </w:r>
      <w:r w:rsidR="0057161F">
        <w:t>u</w:t>
      </w:r>
      <w:r>
        <w:t xml:space="preserve">GH vorgelegte, drehte es sich um einen Tarifvertrag, der vorsah, dass Zuschläge für Überstunden nur dann gezahlt werden, wenn es sich um Überstunden handelt, die über die kalendermonatliche Arbeitszeit von Vollzeitbeschäftigten hinausgehen. Die Klägerinnen, die mit einer Arbeitszeit von 40 (bzw. 80) Prozent der regelmäßigen wöchentlichen Arbeitszeit einer Vollzeitkraft beschäftigt waren, hatten auf Erteilung einer den Zuschlägen entsprechenden Zeitgutschrift sowie auf Zahlung einer Entschädigung nach § 15 Abs. 2 Allgemeines Gleichbehandlungsgesetz (AGG) geklagt. </w:t>
      </w:r>
    </w:p>
    <w:p w14:paraId="7CD1F16D" w14:textId="77777777" w:rsidR="00D94624" w:rsidRDefault="00D94624" w:rsidP="00196D67">
      <w:pPr>
        <w:jc w:val="both"/>
      </w:pPr>
    </w:p>
    <w:p w14:paraId="5AC9584E" w14:textId="4C34C44A" w:rsidR="00196D67" w:rsidRDefault="00610DC8" w:rsidP="00196D67">
      <w:pPr>
        <w:jc w:val="both"/>
      </w:pPr>
      <w:r>
        <w:t>Der EuGH hat festgestellt, das</w:t>
      </w:r>
      <w:r w:rsidR="00196D67">
        <w:t xml:space="preserve"> Regelungen in Tarif- oder Arbeitsverträgen, die vorsehen, dass Teilzeitbeschäftigte erst dann einen Überstundenzuschlag erhalten, wenn ihre Arbeitszeit die Regelarbeitszeit von Vollzeitbeschäftigten überschreitet</w:t>
      </w:r>
      <w:r>
        <w:t xml:space="preserve">, nichtig sind. Sie verstoßen gegen § 4 Nr. 1, Nr. 2 der Rahmenvereinbarung über Teilzeit (Teilzeit-RL 97/81 EG) Art. 157 AEUV sowie Art. 2 Abs. 1 lit. B, Art 4 Abs 1 Gelichbehandlungsrichtlinie 2006/54/EG. </w:t>
      </w:r>
    </w:p>
    <w:p w14:paraId="7E580E7E" w14:textId="77777777" w:rsidR="00CE7A37" w:rsidRDefault="00CE7A37" w:rsidP="00196D67">
      <w:pPr>
        <w:jc w:val="both"/>
      </w:pPr>
    </w:p>
    <w:p w14:paraId="31F736F0" w14:textId="5B60DD50" w:rsidR="00196D67" w:rsidRDefault="00196D67" w:rsidP="00196D67">
      <w:pPr>
        <w:jc w:val="both"/>
      </w:pPr>
      <w:r>
        <w:t xml:space="preserve">Der EuGH </w:t>
      </w:r>
      <w:r w:rsidR="00777F93">
        <w:t>betonte</w:t>
      </w:r>
      <w:r w:rsidR="00E83D6D">
        <w:t xml:space="preserve">, dass die </w:t>
      </w:r>
      <w:r>
        <w:t xml:space="preserve">tarifvertragliche Regelung eine </w:t>
      </w:r>
      <w:r w:rsidR="00131804">
        <w:t>un</w:t>
      </w:r>
      <w:r>
        <w:t>gerechtfertigte Diskriminierung von Teilzeitbeschäftigten</w:t>
      </w:r>
      <w:r w:rsidR="00E83D6D">
        <w:t xml:space="preserve"> darstellt</w:t>
      </w:r>
      <w:r>
        <w:t xml:space="preserve">. </w:t>
      </w:r>
      <w:r w:rsidR="00E83D6D">
        <w:t>Außerdem liege in der Sch</w:t>
      </w:r>
      <w:r w:rsidR="00CE7A37">
        <w:t>l</w:t>
      </w:r>
      <w:r w:rsidR="00E83D6D">
        <w:t>echterstellung von Teilz</w:t>
      </w:r>
      <w:r w:rsidR="00CE7A37">
        <w:t>ei</w:t>
      </w:r>
      <w:r w:rsidR="00E83D6D">
        <w:t>tkräften eine unzulässige mittelbare Diskriminierung von Frauen wegen</w:t>
      </w:r>
      <w:r w:rsidR="00CE7A37">
        <w:t xml:space="preserve"> </w:t>
      </w:r>
      <w:r w:rsidR="00E83D6D">
        <w:t>des Geschlechts, da signifikant mehr Frauen als Männer in Teilzeit arbeiten</w:t>
      </w:r>
      <w:r w:rsidR="009F24F7">
        <w:t xml:space="preserve">. Er bestätigte damit eine ältere Entscheidung, die Fluglotsen betraf. </w:t>
      </w:r>
    </w:p>
    <w:p w14:paraId="74035E17" w14:textId="77777777" w:rsidR="00196D67" w:rsidRDefault="00196D67" w:rsidP="00196D67">
      <w:pPr>
        <w:jc w:val="both"/>
      </w:pPr>
    </w:p>
    <w:p w14:paraId="552C7933" w14:textId="77777777" w:rsidR="00777F93" w:rsidRDefault="00777F93" w:rsidP="009F24F7">
      <w:pPr>
        <w:jc w:val="both"/>
      </w:pPr>
      <w:r>
        <w:t xml:space="preserve">Teilzeitbeschäftigte haben damit grundsätzlich ab der ersten Überstunde, mit der ihre Arbeitszeit überschritten wird, Anspruch auf Überstundenzuschläge. </w:t>
      </w:r>
    </w:p>
    <w:p w14:paraId="310B671D" w14:textId="77777777" w:rsidR="00777F93" w:rsidRDefault="00777F93" w:rsidP="009F24F7">
      <w:pPr>
        <w:jc w:val="both"/>
      </w:pPr>
    </w:p>
    <w:p w14:paraId="380445E2" w14:textId="2DC01CEF" w:rsidR="009F24F7" w:rsidRDefault="00196D67" w:rsidP="009F24F7">
      <w:pPr>
        <w:jc w:val="both"/>
      </w:pPr>
      <w:r>
        <w:t>Das BAG</w:t>
      </w:r>
      <w:r w:rsidR="00926FFE">
        <w:t xml:space="preserve"> </w:t>
      </w:r>
      <w:r w:rsidR="00314A52">
        <w:t xml:space="preserve">hat </w:t>
      </w:r>
      <w:r w:rsidR="00926FFE">
        <w:t xml:space="preserve">unter </w:t>
      </w:r>
      <w:r w:rsidR="00314A52">
        <w:t xml:space="preserve">den </w:t>
      </w:r>
      <w:r w:rsidR="00926FFE">
        <w:t>Vorgaben des EuGH</w:t>
      </w:r>
      <w:r>
        <w:t xml:space="preserve"> </w:t>
      </w:r>
      <w:r w:rsidR="00926FFE">
        <w:t>mit Urteil vom 5. Dezember 2024 (Az. 8</w:t>
      </w:r>
      <w:r w:rsidR="00314A52">
        <w:t xml:space="preserve"> </w:t>
      </w:r>
      <w:r w:rsidR="00926FFE">
        <w:t>AZR 370/20) der Klägerin</w:t>
      </w:r>
      <w:r w:rsidR="00314A52">
        <w:t>,</w:t>
      </w:r>
      <w:r w:rsidR="00926FFE">
        <w:t xml:space="preserve"> die von ihr verlangte Zeitgutschrift und darüber hinaus eine Entschädigung in Höhe von 250 Euro zugesprochen.</w:t>
      </w:r>
      <w:r w:rsidR="00CE7A37">
        <w:t xml:space="preserve"> </w:t>
      </w:r>
    </w:p>
    <w:p w14:paraId="403D8E71" w14:textId="068AA3A4" w:rsidR="00196D67" w:rsidRDefault="00196D67" w:rsidP="00196D67">
      <w:pPr>
        <w:jc w:val="both"/>
      </w:pPr>
    </w:p>
    <w:p w14:paraId="5C20C036" w14:textId="77777777" w:rsidR="001F3C74" w:rsidRDefault="00D94624" w:rsidP="00196D67">
      <w:pPr>
        <w:jc w:val="both"/>
      </w:pPr>
      <w:r>
        <w:t>F</w:t>
      </w:r>
      <w:r w:rsidR="00CE7A37">
        <w:t>ür den öffentlichen Dien</w:t>
      </w:r>
      <w:r w:rsidR="00131804">
        <w:t>s</w:t>
      </w:r>
      <w:r w:rsidR="00CE7A37">
        <w:t xml:space="preserve">t </w:t>
      </w:r>
      <w:r w:rsidR="00EF30D6">
        <w:t>kann</w:t>
      </w:r>
      <w:r w:rsidR="00CE7A37">
        <w:t xml:space="preserve"> die Entscheidung des EuGH </w:t>
      </w:r>
      <w:r w:rsidR="0065237D">
        <w:t>r</w:t>
      </w:r>
      <w:r w:rsidR="00CE7A37">
        <w:t>ichtungsweisend</w:t>
      </w:r>
      <w:r w:rsidR="00EF30D6">
        <w:t xml:space="preserve"> sein</w:t>
      </w:r>
      <w:r w:rsidR="00CE7A37">
        <w:t xml:space="preserve">. </w:t>
      </w:r>
      <w:r w:rsidR="00131804">
        <w:t xml:space="preserve">Der Frauenanteil der Teilzeitbeschäftigten im öffentlichen Dienst lag 2022 bei 87,27 Prozent.  </w:t>
      </w:r>
      <w:r w:rsidR="00777F93">
        <w:t>Im Beamtenbereich werden g</w:t>
      </w:r>
      <w:r w:rsidR="00131804">
        <w:t xml:space="preserve">emäß § 6 Bundesbesoldungsgesetz </w:t>
      </w:r>
      <w:r w:rsidR="00777F93">
        <w:t xml:space="preserve">(oder entsprechendes Landesrecht) </w:t>
      </w:r>
      <w:r w:rsidR="00131804">
        <w:t xml:space="preserve">die Dienstbezüge </w:t>
      </w:r>
      <w:r w:rsidR="00EF30D6">
        <w:t xml:space="preserve">von Teilzeitbeschäftigten </w:t>
      </w:r>
      <w:r w:rsidR="00131804">
        <w:t>im gleiche</w:t>
      </w:r>
      <w:r w:rsidR="00FC6FEC">
        <w:t>n</w:t>
      </w:r>
      <w:r w:rsidR="00131804">
        <w:t xml:space="preserve"> Verhältnis wie die </w:t>
      </w:r>
      <w:r w:rsidR="00FC6FEC">
        <w:t>Arbeitszeit</w:t>
      </w:r>
      <w:r w:rsidR="00131804">
        <w:t xml:space="preserve"> gekürzt. </w:t>
      </w:r>
      <w:r w:rsidR="00FC6FEC">
        <w:t xml:space="preserve">Die regelmäßige wöchentliche Arbeitszeit von Beamtinnen und Beamten des Bundes beträgt gemäß § 3 Arbeitszeitverordnung (AZV) 41 Stunden. </w:t>
      </w:r>
      <w:r w:rsidR="00EF30D6">
        <w:t>Die Verordnung über die Gewährung von Mehrarbeit für Beamten und Beamtinnen des Bundes (BMVerG) regelt für diese abschließend die Vergütungen von Mehrarbeit</w:t>
      </w:r>
      <w:r w:rsidR="00777F93">
        <w:t>. A</w:t>
      </w:r>
      <w:r w:rsidR="004A24DB" w:rsidRPr="00777F93">
        <w:t xml:space="preserve">ufgrund des besonderen beamtenrechtlichen Status </w:t>
      </w:r>
      <w:r w:rsidR="00777F93">
        <w:t xml:space="preserve">ist aber immer </w:t>
      </w:r>
      <w:r w:rsidR="004A24DB" w:rsidRPr="00777F93">
        <w:t xml:space="preserve">vorrangig Freizeitausgleich </w:t>
      </w:r>
      <w:r w:rsidR="00777F93">
        <w:t>z</w:t>
      </w:r>
      <w:r w:rsidR="00A70C88">
        <w:t xml:space="preserve">u </w:t>
      </w:r>
      <w:r w:rsidR="00777F93">
        <w:t>gewähren</w:t>
      </w:r>
      <w:r w:rsidR="004A24DB" w:rsidRPr="00777F93">
        <w:t xml:space="preserve">. </w:t>
      </w:r>
      <w:r w:rsidR="00EF30D6" w:rsidRPr="00777F93">
        <w:t xml:space="preserve">Gemäß § 4a Abs. 1 BMVerG erhalten </w:t>
      </w:r>
      <w:r w:rsidR="00A70C88">
        <w:t xml:space="preserve">heute </w:t>
      </w:r>
      <w:r w:rsidR="00EF30D6" w:rsidRPr="00777F93">
        <w:t>Teilzeitbeschäftigte bis zur Erreichung der regelmäßigen Arbeitszeit von Vollzeitbeschäftigten je Stunde Mehrarbeit eine Vergütung in Höhe des auf eine Stund</w:t>
      </w:r>
      <w:r w:rsidR="00EF30D6">
        <w:t xml:space="preserve">e entfallenden Anteils der Besoldung entsprechender Vollzeitbeschäftigter. </w:t>
      </w:r>
    </w:p>
    <w:p w14:paraId="54628359" w14:textId="71A82F05" w:rsidR="00EF30D6" w:rsidRDefault="00EF30D6" w:rsidP="00196D67">
      <w:pPr>
        <w:jc w:val="both"/>
      </w:pPr>
      <w:r>
        <w:t xml:space="preserve"> </w:t>
      </w:r>
    </w:p>
    <w:p w14:paraId="12D334B8" w14:textId="4C80D93F" w:rsidR="003E412E" w:rsidRPr="00A70C88" w:rsidRDefault="003E412E" w:rsidP="00196D67">
      <w:pPr>
        <w:jc w:val="both"/>
      </w:pPr>
      <w:r w:rsidRPr="00A70C88">
        <w:t xml:space="preserve">Damit </w:t>
      </w:r>
      <w:r w:rsidR="004A24DB" w:rsidRPr="00A70C88">
        <w:t>könnte</w:t>
      </w:r>
      <w:r w:rsidRPr="00A70C88">
        <w:t xml:space="preserve"> eine mit der dem Urteil des EuGH vergleichbare Ausgangslage vor</w:t>
      </w:r>
      <w:r w:rsidR="004A24DB" w:rsidRPr="00A70C88">
        <w:t>liegen</w:t>
      </w:r>
      <w:r w:rsidRPr="00A70C88">
        <w:t xml:space="preserve">, </w:t>
      </w:r>
      <w:r w:rsidR="004A24DB" w:rsidRPr="00A70C88">
        <w:t xml:space="preserve">denn </w:t>
      </w:r>
      <w:r w:rsidRPr="00A70C88">
        <w:t>die Teilzeitbeschäftigten</w:t>
      </w:r>
      <w:r w:rsidR="00832787" w:rsidRPr="00A70C88">
        <w:t xml:space="preserve">, erhalten eine Mehrarbeitsvergütung erst, wenn sie die über die regelmäßige Arbeitszeit von Vollzeitbeschäftigten hinaus tätig sind, und nicht unter Berücksichtigung ihrer individuell vereinbarten Arbeitszeit. </w:t>
      </w:r>
      <w:r w:rsidR="00A70C88">
        <w:t>Allerdings ist auch hier beachtlich, das</w:t>
      </w:r>
      <w:r w:rsidR="00481993">
        <w:t>s</w:t>
      </w:r>
      <w:r w:rsidR="00A70C88">
        <w:t xml:space="preserve"> Statusbeatinnen und Statusbeamte nicht für Geld arbeiten, sondern im besonderen öffentlich-rechtlichen Dienst- und Treueverhältnis mit voller Hingabe Dienst zu leisten haben. Gleichzeitig </w:t>
      </w:r>
      <w:r w:rsidR="00832787" w:rsidRPr="00A70C88">
        <w:t xml:space="preserve">ist der Anteil der in Teilzeit arbeitenden Beamtinnen signifikant höher als der der Beamten, so dass eine geschlechterdiskriminierende Reglung vorliegen könnte. </w:t>
      </w:r>
    </w:p>
    <w:p w14:paraId="6626A40C" w14:textId="77777777" w:rsidR="00A70C88" w:rsidRDefault="00A70C88" w:rsidP="00196D67">
      <w:pPr>
        <w:jc w:val="both"/>
      </w:pPr>
    </w:p>
    <w:p w14:paraId="589FE582" w14:textId="5103DC90" w:rsidR="00C15FA9" w:rsidRDefault="008D31A8" w:rsidP="000A6C44">
      <w:pPr>
        <w:ind w:right="480"/>
        <w:jc w:val="both"/>
      </w:pPr>
      <w:r w:rsidRPr="008D31A8">
        <w:t>Über die weitere Entwicklung werde ich anlassbezogen berichten.</w:t>
      </w:r>
    </w:p>
    <w:p w14:paraId="2BAA23DC" w14:textId="77777777" w:rsidR="008D31A8" w:rsidRDefault="008D31A8" w:rsidP="000A6C44">
      <w:pPr>
        <w:ind w:right="480"/>
        <w:jc w:val="both"/>
      </w:pPr>
    </w:p>
    <w:p w14:paraId="05EA1F95" w14:textId="57903B8C" w:rsidR="003A4DC2" w:rsidRDefault="003A4DC2" w:rsidP="000A6C44">
      <w:pPr>
        <w:ind w:right="480"/>
        <w:jc w:val="both"/>
      </w:pPr>
      <w:r w:rsidRPr="00A70C88">
        <w:t>Mit kollegialen Grüßen</w:t>
      </w:r>
    </w:p>
    <w:p w14:paraId="01CA3C86" w14:textId="77777777" w:rsidR="003A4DC2" w:rsidRDefault="003A4DC2" w:rsidP="000A6C44">
      <w:pPr>
        <w:ind w:right="480"/>
        <w:jc w:val="both"/>
      </w:pPr>
    </w:p>
    <w:p w14:paraId="4680864B" w14:textId="77777777" w:rsidR="003A4DC2" w:rsidRDefault="003A4DC2" w:rsidP="000A6C44">
      <w:pPr>
        <w:ind w:right="480"/>
        <w:jc w:val="both"/>
      </w:pPr>
    </w:p>
    <w:p w14:paraId="4BACCC21" w14:textId="77777777" w:rsidR="003A4DC2" w:rsidRDefault="00A35F58" w:rsidP="000A6C44">
      <w:pPr>
        <w:ind w:right="480"/>
        <w:jc w:val="both"/>
      </w:pPr>
      <w:r>
        <w:t>Waldemar Dombrowski</w:t>
      </w:r>
    </w:p>
    <w:p w14:paraId="3F1FF983" w14:textId="77777777" w:rsidR="00A35F58" w:rsidRDefault="00A35F58" w:rsidP="000A6C44">
      <w:pPr>
        <w:ind w:right="480"/>
        <w:jc w:val="both"/>
      </w:pPr>
      <w:r>
        <w:t>Zweiter Vorsitzender</w:t>
      </w:r>
    </w:p>
    <w:p w14:paraId="48B3E32B" w14:textId="77777777" w:rsidR="00A35F58" w:rsidRDefault="00A35F58" w:rsidP="000A6C44">
      <w:pPr>
        <w:ind w:right="480"/>
        <w:jc w:val="both"/>
      </w:pPr>
      <w:r>
        <w:t>Fachvorstand Beamtenpolitik</w:t>
      </w:r>
    </w:p>
    <w:p w14:paraId="381EB486" w14:textId="77777777" w:rsidR="00D13F71" w:rsidRDefault="00D13F71" w:rsidP="000A6C44">
      <w:pPr>
        <w:ind w:right="480"/>
        <w:jc w:val="both"/>
      </w:pPr>
    </w:p>
    <w:p w14:paraId="0D005299" w14:textId="77777777" w:rsidR="00874E21" w:rsidRDefault="00874E21" w:rsidP="000A6C44">
      <w:pPr>
        <w:ind w:right="480"/>
        <w:jc w:val="both"/>
      </w:pPr>
    </w:p>
    <w:p w14:paraId="6082F230" w14:textId="5A468C9C" w:rsidR="003A4DC2" w:rsidRDefault="00D13F71" w:rsidP="000A6C44">
      <w:pPr>
        <w:ind w:right="480"/>
        <w:jc w:val="both"/>
        <w:rPr>
          <w:b/>
          <w:bCs/>
          <w:i/>
          <w:iCs/>
        </w:rPr>
      </w:pPr>
      <w:r w:rsidRPr="00EC41A1">
        <w:rPr>
          <w:b/>
          <w:bCs/>
        </w:rPr>
        <w:t>Anlage</w:t>
      </w:r>
    </w:p>
    <w:p w14:paraId="1A1A806D" w14:textId="77777777" w:rsidR="00CE7A37" w:rsidRDefault="00CE7A37" w:rsidP="000A6C44">
      <w:pPr>
        <w:ind w:right="480"/>
        <w:jc w:val="both"/>
        <w:rPr>
          <w:b/>
          <w:bCs/>
          <w:i/>
          <w:iCs/>
        </w:rPr>
      </w:pPr>
    </w:p>
    <w:p w14:paraId="094D4091" w14:textId="77777777" w:rsidR="00CE7A37" w:rsidRDefault="00CE7A37" w:rsidP="00CE7A37">
      <w:pPr>
        <w:jc w:val="both"/>
      </w:pPr>
    </w:p>
    <w:p w14:paraId="281DA7DC" w14:textId="77777777" w:rsidR="00CE7A37" w:rsidRDefault="00CE7A37" w:rsidP="00CE7A37">
      <w:pPr>
        <w:jc w:val="both"/>
      </w:pPr>
    </w:p>
    <w:p w14:paraId="14BD6F47" w14:textId="77777777" w:rsidR="00CE7A37" w:rsidRDefault="00CE7A37" w:rsidP="00CE7A37">
      <w:pPr>
        <w:jc w:val="both"/>
      </w:pPr>
    </w:p>
    <w:p w14:paraId="549C3FED" w14:textId="77777777" w:rsidR="00CE7A37" w:rsidRPr="00CE7A37" w:rsidRDefault="00CE7A37" w:rsidP="000A6C44">
      <w:pPr>
        <w:ind w:right="480"/>
        <w:jc w:val="both"/>
        <w:rPr>
          <w:b/>
          <w:bCs/>
          <w:i/>
          <w:iCs/>
        </w:rPr>
      </w:pPr>
    </w:p>
    <w:sectPr w:rsidR="00CE7A37" w:rsidRPr="00CE7A37">
      <w:headerReference w:type="even" r:id="rId7"/>
      <w:headerReference w:type="default" r:id="rId8"/>
      <w:headerReference w:type="first" r:id="rId9"/>
      <w:pgSz w:w="11906" w:h="16838"/>
      <w:pgMar w:top="851" w:right="851" w:bottom="1134"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18DA" w14:textId="77777777" w:rsidR="00C90CB7" w:rsidRDefault="00C90CB7">
      <w:r>
        <w:separator/>
      </w:r>
    </w:p>
  </w:endnote>
  <w:endnote w:type="continuationSeparator" w:id="0">
    <w:p w14:paraId="73CFE52E" w14:textId="77777777" w:rsidR="00C90CB7" w:rsidRDefault="00C9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30403020602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8E17" w14:textId="77777777" w:rsidR="00C90CB7" w:rsidRDefault="00C90CB7">
      <w:r>
        <w:separator/>
      </w:r>
    </w:p>
  </w:footnote>
  <w:footnote w:type="continuationSeparator" w:id="0">
    <w:p w14:paraId="6F7CDD17" w14:textId="77777777" w:rsidR="00C90CB7" w:rsidRDefault="00C9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0478" w14:textId="77777777" w:rsidR="00904195" w:rsidRDefault="00904195">
    <w:pPr>
      <w:pStyle w:val="Kopfzeile"/>
      <w:rPr>
        <w:rStyle w:val="Seitenzahl"/>
      </w:rPr>
    </w:pPr>
    <w:r>
      <w:rPr>
        <w:rStyle w:val="Seitenzahl"/>
      </w:rPr>
      <w:fldChar w:fldCharType="begin"/>
    </w:r>
    <w:r>
      <w:rPr>
        <w:rStyle w:val="Seitenzahl"/>
      </w:rPr>
      <w:instrText xml:space="preserve">PAGE  </w:instrText>
    </w:r>
    <w:r>
      <w:rPr>
        <w:rStyle w:val="Seitenzahl"/>
      </w:rPr>
      <w:fldChar w:fldCharType="end"/>
    </w:r>
  </w:p>
  <w:p w14:paraId="596D3CFE" w14:textId="77777777" w:rsidR="00904195" w:rsidRDefault="009041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7E2D" w14:textId="77777777" w:rsidR="00904195" w:rsidRDefault="00904195">
    <w:pPr>
      <w:pStyle w:val="Kopfzeile"/>
      <w:rPr>
        <w:rStyle w:val="Seitenzahl"/>
      </w:rPr>
    </w:pPr>
    <w:r>
      <w:rPr>
        <w:rStyle w:val="Seitenzahl"/>
      </w:rPr>
      <w:fldChar w:fldCharType="begin"/>
    </w:r>
    <w:r>
      <w:rPr>
        <w:rStyle w:val="Seitenzahl"/>
      </w:rPr>
      <w:instrText xml:space="preserve">PAGE  </w:instrText>
    </w:r>
    <w:r>
      <w:rPr>
        <w:rStyle w:val="Seitenzahl"/>
      </w:rPr>
      <w:fldChar w:fldCharType="separate"/>
    </w:r>
    <w:r w:rsidR="00F94048">
      <w:rPr>
        <w:rStyle w:val="Seitenzahl"/>
        <w:noProof/>
      </w:rPr>
      <w:t>2</w:t>
    </w:r>
    <w:r>
      <w:rPr>
        <w:rStyle w:val="Seitenzahl"/>
      </w:rPr>
      <w:fldChar w:fldCharType="end"/>
    </w:r>
  </w:p>
  <w:p w14:paraId="0DAF611D" w14:textId="77777777" w:rsidR="00904195" w:rsidRDefault="009041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124D" w14:textId="7B9F81EC" w:rsidR="00904195" w:rsidRDefault="00904195">
    <w:pPr>
      <w:tabs>
        <w:tab w:val="left" w:pos="-4536"/>
        <w:tab w:val="left" w:pos="6407"/>
        <w:tab w:val="left" w:pos="6521"/>
      </w:tabs>
      <w:ind w:right="-427"/>
      <w:rPr>
        <w:sz w:val="16"/>
      </w:rPr>
    </w:pPr>
    <w:r>
      <w:rPr>
        <w:sz w:val="16"/>
      </w:rPr>
      <w:tab/>
    </w:r>
    <w:r w:rsidR="00EC41A1">
      <w:rPr>
        <w:noProof/>
        <w:sz w:val="16"/>
      </w:rPr>
      <w:drawing>
        <wp:inline distT="0" distB="0" distL="0" distR="0" wp14:anchorId="636E3732" wp14:editId="03E4CD2A">
          <wp:extent cx="2035175" cy="6184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175" cy="618490"/>
                  </a:xfrm>
                  <a:prstGeom prst="rect">
                    <a:avLst/>
                  </a:prstGeom>
                  <a:noFill/>
                  <a:ln>
                    <a:noFill/>
                  </a:ln>
                </pic:spPr>
              </pic:pic>
            </a:graphicData>
          </a:graphic>
        </wp:inline>
      </w:drawing>
    </w:r>
  </w:p>
  <w:p w14:paraId="7E5FCA71" w14:textId="77777777" w:rsidR="00904195" w:rsidRDefault="00904195">
    <w:pPr>
      <w:tabs>
        <w:tab w:val="left" w:pos="-4536"/>
        <w:tab w:val="left" w:pos="6407"/>
        <w:tab w:val="left" w:pos="6521"/>
      </w:tabs>
      <w:ind w:right="-427"/>
      <w:rPr>
        <w:sz w:val="16"/>
      </w:rPr>
    </w:pPr>
  </w:p>
  <w:p w14:paraId="3BE65347" w14:textId="77777777" w:rsidR="00904195" w:rsidRDefault="00904195">
    <w:pPr>
      <w:tabs>
        <w:tab w:val="left" w:pos="-4536"/>
        <w:tab w:val="left" w:pos="6407"/>
        <w:tab w:val="left" w:pos="6521"/>
      </w:tabs>
      <w:ind w:right="-427"/>
      <w:rPr>
        <w:sz w:val="16"/>
      </w:rPr>
    </w:pPr>
  </w:p>
  <w:p w14:paraId="0E1598F2" w14:textId="77777777" w:rsidR="00904195" w:rsidRDefault="00904195">
    <w:pPr>
      <w:tabs>
        <w:tab w:val="left" w:pos="-4536"/>
        <w:tab w:val="left" w:pos="7938"/>
      </w:tabs>
      <w:ind w:right="-427"/>
      <w:rPr>
        <w:sz w:val="20"/>
      </w:rPr>
    </w:pPr>
    <w:r>
      <w:rPr>
        <w:sz w:val="16"/>
      </w:rPr>
      <w:tab/>
    </w:r>
    <w:r>
      <w:rPr>
        <w:sz w:val="20"/>
      </w:rPr>
      <w:t>Bundesleitung</w:t>
    </w:r>
  </w:p>
  <w:p w14:paraId="6D9940B2" w14:textId="77777777" w:rsidR="00904195" w:rsidRDefault="00904195">
    <w:pPr>
      <w:tabs>
        <w:tab w:val="left" w:pos="-4536"/>
        <w:tab w:val="left" w:pos="7938"/>
      </w:tabs>
      <w:ind w:right="-427"/>
      <w:rPr>
        <w:sz w:val="20"/>
      </w:rPr>
    </w:pPr>
  </w:p>
  <w:p w14:paraId="2B53E321" w14:textId="77777777" w:rsidR="00904195" w:rsidRDefault="00A15C5A">
    <w:pPr>
      <w:tabs>
        <w:tab w:val="left" w:pos="-4536"/>
        <w:tab w:val="left" w:pos="7938"/>
      </w:tabs>
      <w:ind w:right="-427"/>
      <w:rPr>
        <w:sz w:val="16"/>
      </w:rPr>
    </w:pPr>
    <w:r>
      <w:rPr>
        <w:sz w:val="16"/>
      </w:rPr>
      <w:tab/>
      <w:t>Friedrichstraße 169</w:t>
    </w:r>
  </w:p>
  <w:p w14:paraId="4C3D2335" w14:textId="77777777" w:rsidR="00904195" w:rsidRDefault="00904195">
    <w:pPr>
      <w:tabs>
        <w:tab w:val="left" w:pos="-4536"/>
        <w:tab w:val="left" w:pos="7938"/>
      </w:tabs>
      <w:ind w:right="-427"/>
      <w:rPr>
        <w:sz w:val="16"/>
      </w:rPr>
    </w:pPr>
    <w:r>
      <w:rPr>
        <w:sz w:val="16"/>
      </w:rPr>
      <w:tab/>
      <w:t>D-10117 Berlin</w:t>
    </w:r>
  </w:p>
  <w:p w14:paraId="607C8743" w14:textId="77777777" w:rsidR="00904195" w:rsidRDefault="00904195">
    <w:pPr>
      <w:tabs>
        <w:tab w:val="left" w:pos="-4536"/>
        <w:tab w:val="left" w:pos="7938"/>
      </w:tabs>
      <w:ind w:right="-427"/>
      <w:rPr>
        <w:sz w:val="12"/>
      </w:rPr>
    </w:pPr>
    <w:r>
      <w:rPr>
        <w:sz w:val="12"/>
      </w:rPr>
      <w:tab/>
    </w:r>
  </w:p>
  <w:p w14:paraId="245DFB78" w14:textId="77777777" w:rsidR="00904195" w:rsidRDefault="00904195">
    <w:pPr>
      <w:tabs>
        <w:tab w:val="left" w:pos="7938"/>
      </w:tabs>
      <w:ind w:right="-427"/>
      <w:rPr>
        <w:sz w:val="16"/>
      </w:rPr>
    </w:pPr>
    <w:r>
      <w:rPr>
        <w:sz w:val="16"/>
      </w:rPr>
      <w:tab/>
      <w:t>Telefon</w:t>
    </w:r>
    <w:r>
      <w:rPr>
        <w:sz w:val="16"/>
      </w:rPr>
      <w:tab/>
      <w:t>030.40 81-4</w:t>
    </w:r>
    <w:r w:rsidR="00196EE3">
      <w:rPr>
        <w:sz w:val="16"/>
      </w:rPr>
      <w:t>1 01</w:t>
    </w:r>
  </w:p>
  <w:p w14:paraId="4484F42C" w14:textId="77777777" w:rsidR="00904195" w:rsidRDefault="00904195">
    <w:pPr>
      <w:tabs>
        <w:tab w:val="left" w:pos="-4395"/>
        <w:tab w:val="left" w:pos="7938"/>
      </w:tabs>
      <w:ind w:right="-427"/>
      <w:rPr>
        <w:sz w:val="16"/>
      </w:rPr>
    </w:pPr>
    <w:r>
      <w:rPr>
        <w:sz w:val="16"/>
      </w:rPr>
      <w:tab/>
      <w:t>Telefax</w:t>
    </w:r>
    <w:r>
      <w:rPr>
        <w:sz w:val="16"/>
      </w:rPr>
      <w:tab/>
      <w:t>030.40 81-4</w:t>
    </w:r>
    <w:r w:rsidR="00196EE3">
      <w:rPr>
        <w:sz w:val="16"/>
      </w:rPr>
      <w:t xml:space="preserve">1 </w:t>
    </w:r>
    <w:r>
      <w:rPr>
        <w:sz w:val="16"/>
      </w:rPr>
      <w:t>99</w:t>
    </w:r>
  </w:p>
  <w:p w14:paraId="3B98240F" w14:textId="77777777" w:rsidR="00904195" w:rsidRDefault="00904195">
    <w:pPr>
      <w:tabs>
        <w:tab w:val="left" w:pos="7938"/>
      </w:tabs>
      <w:ind w:right="-427"/>
      <w:rPr>
        <w:sz w:val="16"/>
      </w:rPr>
    </w:pPr>
    <w:r>
      <w:rPr>
        <w:sz w:val="16"/>
      </w:rPr>
      <w:tab/>
    </w:r>
    <w:hyperlink r:id="rId2" w:history="1">
      <w:r w:rsidR="00196EE3" w:rsidRPr="00586154">
        <w:rPr>
          <w:rStyle w:val="Hyperlink"/>
          <w:sz w:val="16"/>
        </w:rPr>
        <w:t>bundesleitung@dbb.de</w:t>
      </w:r>
    </w:hyperlink>
    <w:r w:rsidR="00196EE3">
      <w:rPr>
        <w:sz w:val="16"/>
      </w:rPr>
      <w:t xml:space="preserve"> </w:t>
    </w:r>
  </w:p>
  <w:p w14:paraId="56AC38C0" w14:textId="77777777" w:rsidR="00904195" w:rsidRDefault="00904195">
    <w:pPr>
      <w:tabs>
        <w:tab w:val="left" w:pos="-4536"/>
        <w:tab w:val="left" w:pos="7938"/>
      </w:tabs>
      <w:ind w:right="-427"/>
      <w:rPr>
        <w:sz w:val="16"/>
      </w:rPr>
    </w:pPr>
    <w:r>
      <w:rPr>
        <w:sz w:val="12"/>
      </w:rPr>
      <w:t>dbb beamtenbund und tarifunion  Friedrichstraße 169  10117 Berlin</w:t>
    </w:r>
    <w:r>
      <w:rPr>
        <w:sz w:val="12"/>
      </w:rPr>
      <w:tab/>
    </w:r>
    <w:hyperlink r:id="rId3" w:history="1">
      <w:r w:rsidR="00196EE3" w:rsidRPr="00586154">
        <w:rPr>
          <w:rStyle w:val="Hyperlink"/>
          <w:sz w:val="16"/>
        </w:rPr>
        <w:t>www.dbb.de</w:t>
      </w:r>
    </w:hyperlink>
    <w:r w:rsidR="00196EE3">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03FBC"/>
    <w:multiLevelType w:val="hybridMultilevel"/>
    <w:tmpl w:val="B9C0B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6438A5"/>
    <w:multiLevelType w:val="hybridMultilevel"/>
    <w:tmpl w:val="7C2899F4"/>
    <w:lvl w:ilvl="0" w:tplc="A688623E">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E9A29B2"/>
    <w:multiLevelType w:val="hybridMultilevel"/>
    <w:tmpl w:val="9244DEA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16cid:durableId="371927798">
    <w:abstractNumId w:val="1"/>
  </w:num>
  <w:num w:numId="2" w16cid:durableId="1684016214">
    <w:abstractNumId w:val="2"/>
  </w:num>
  <w:num w:numId="3" w16cid:durableId="5547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9" w:dllVersion="512" w:checkStyle="1"/>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C2"/>
    <w:rsid w:val="00026010"/>
    <w:rsid w:val="00042CE5"/>
    <w:rsid w:val="00045175"/>
    <w:rsid w:val="00080803"/>
    <w:rsid w:val="00080FF5"/>
    <w:rsid w:val="000A6C44"/>
    <w:rsid w:val="000B1D0F"/>
    <w:rsid w:val="000B1D94"/>
    <w:rsid w:val="000B4C4B"/>
    <w:rsid w:val="00131804"/>
    <w:rsid w:val="001429C1"/>
    <w:rsid w:val="001436DA"/>
    <w:rsid w:val="00171B91"/>
    <w:rsid w:val="00196D67"/>
    <w:rsid w:val="00196EE3"/>
    <w:rsid w:val="001E713C"/>
    <w:rsid w:val="001F3C74"/>
    <w:rsid w:val="001F7B2D"/>
    <w:rsid w:val="002327D6"/>
    <w:rsid w:val="00250F54"/>
    <w:rsid w:val="00263B3E"/>
    <w:rsid w:val="002A0083"/>
    <w:rsid w:val="002A398B"/>
    <w:rsid w:val="002C4700"/>
    <w:rsid w:val="002C6692"/>
    <w:rsid w:val="002F5AD1"/>
    <w:rsid w:val="00303162"/>
    <w:rsid w:val="00314A52"/>
    <w:rsid w:val="0032611D"/>
    <w:rsid w:val="003632B3"/>
    <w:rsid w:val="00393FAC"/>
    <w:rsid w:val="003A1427"/>
    <w:rsid w:val="003A4DC2"/>
    <w:rsid w:val="003E412E"/>
    <w:rsid w:val="003E76FA"/>
    <w:rsid w:val="00402FBE"/>
    <w:rsid w:val="00407B2C"/>
    <w:rsid w:val="00413D07"/>
    <w:rsid w:val="00444F56"/>
    <w:rsid w:val="00481993"/>
    <w:rsid w:val="004A24DB"/>
    <w:rsid w:val="004A3994"/>
    <w:rsid w:val="004C72B0"/>
    <w:rsid w:val="00506069"/>
    <w:rsid w:val="0057161F"/>
    <w:rsid w:val="00574A4D"/>
    <w:rsid w:val="005770B8"/>
    <w:rsid w:val="005771B9"/>
    <w:rsid w:val="00594974"/>
    <w:rsid w:val="005A3D2F"/>
    <w:rsid w:val="005C3183"/>
    <w:rsid w:val="005D4DA4"/>
    <w:rsid w:val="005E2D56"/>
    <w:rsid w:val="005F134F"/>
    <w:rsid w:val="005F72BA"/>
    <w:rsid w:val="00610DC8"/>
    <w:rsid w:val="006312EF"/>
    <w:rsid w:val="0064035D"/>
    <w:rsid w:val="0065237D"/>
    <w:rsid w:val="00656091"/>
    <w:rsid w:val="00692CE8"/>
    <w:rsid w:val="00694438"/>
    <w:rsid w:val="006A7389"/>
    <w:rsid w:val="006D51A7"/>
    <w:rsid w:val="006F507E"/>
    <w:rsid w:val="006F5829"/>
    <w:rsid w:val="0070780D"/>
    <w:rsid w:val="0076115A"/>
    <w:rsid w:val="00777F93"/>
    <w:rsid w:val="00785214"/>
    <w:rsid w:val="007C3B20"/>
    <w:rsid w:val="007C6A0C"/>
    <w:rsid w:val="007F2F3E"/>
    <w:rsid w:val="007F7A2F"/>
    <w:rsid w:val="00832787"/>
    <w:rsid w:val="00836C92"/>
    <w:rsid w:val="008641C7"/>
    <w:rsid w:val="00874E21"/>
    <w:rsid w:val="00886F0F"/>
    <w:rsid w:val="008A38FE"/>
    <w:rsid w:val="008D31A8"/>
    <w:rsid w:val="00902226"/>
    <w:rsid w:val="00904195"/>
    <w:rsid w:val="00920E6B"/>
    <w:rsid w:val="00926FFE"/>
    <w:rsid w:val="00974FA0"/>
    <w:rsid w:val="00993AE4"/>
    <w:rsid w:val="009B130C"/>
    <w:rsid w:val="009B7171"/>
    <w:rsid w:val="009D684B"/>
    <w:rsid w:val="009E0761"/>
    <w:rsid w:val="009E6BF4"/>
    <w:rsid w:val="009F24F7"/>
    <w:rsid w:val="00A03F85"/>
    <w:rsid w:val="00A05E4D"/>
    <w:rsid w:val="00A15C5A"/>
    <w:rsid w:val="00A31490"/>
    <w:rsid w:val="00A35F58"/>
    <w:rsid w:val="00A579FC"/>
    <w:rsid w:val="00A70074"/>
    <w:rsid w:val="00A70C88"/>
    <w:rsid w:val="00A8044C"/>
    <w:rsid w:val="00A90527"/>
    <w:rsid w:val="00AB0C65"/>
    <w:rsid w:val="00AE070D"/>
    <w:rsid w:val="00B00663"/>
    <w:rsid w:val="00B00988"/>
    <w:rsid w:val="00B22FB8"/>
    <w:rsid w:val="00B357A3"/>
    <w:rsid w:val="00B412A0"/>
    <w:rsid w:val="00B53C3B"/>
    <w:rsid w:val="00B56F4B"/>
    <w:rsid w:val="00B665AC"/>
    <w:rsid w:val="00B7376D"/>
    <w:rsid w:val="00B74D88"/>
    <w:rsid w:val="00B81FEF"/>
    <w:rsid w:val="00C067F6"/>
    <w:rsid w:val="00C15FA9"/>
    <w:rsid w:val="00C509C1"/>
    <w:rsid w:val="00C617BE"/>
    <w:rsid w:val="00C76727"/>
    <w:rsid w:val="00C90CB7"/>
    <w:rsid w:val="00CA392A"/>
    <w:rsid w:val="00CC1FF7"/>
    <w:rsid w:val="00CD0436"/>
    <w:rsid w:val="00CE7A37"/>
    <w:rsid w:val="00D13F71"/>
    <w:rsid w:val="00D27A41"/>
    <w:rsid w:val="00D60F01"/>
    <w:rsid w:val="00D94624"/>
    <w:rsid w:val="00DC204B"/>
    <w:rsid w:val="00DD0752"/>
    <w:rsid w:val="00E37A79"/>
    <w:rsid w:val="00E44466"/>
    <w:rsid w:val="00E81EB0"/>
    <w:rsid w:val="00E83D6D"/>
    <w:rsid w:val="00E97F92"/>
    <w:rsid w:val="00EA3203"/>
    <w:rsid w:val="00EB6FD5"/>
    <w:rsid w:val="00EC40F4"/>
    <w:rsid w:val="00EC41A1"/>
    <w:rsid w:val="00EF30D6"/>
    <w:rsid w:val="00F149CB"/>
    <w:rsid w:val="00F14BE3"/>
    <w:rsid w:val="00F54E04"/>
    <w:rsid w:val="00F63671"/>
    <w:rsid w:val="00F64383"/>
    <w:rsid w:val="00F85A14"/>
    <w:rsid w:val="00F94048"/>
    <w:rsid w:val="00FC6FEC"/>
    <w:rsid w:val="00FE3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EC591"/>
  <w15:chartTrackingRefBased/>
  <w15:docId w15:val="{BBE5279A-A1FA-404C-ADCB-48159E60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TheSansOffice" w:hAnsi="TheSansOffice" w:cs="Arial"/>
      <w:sz w:val="24"/>
    </w:rPr>
  </w:style>
  <w:style w:type="paragraph" w:styleId="berschrift1">
    <w:name w:val="heading 1"/>
    <w:basedOn w:val="Standard"/>
    <w:next w:val="Standard"/>
    <w:autoRedefine/>
    <w:qFormat/>
    <w:rsid w:val="003A4DC2"/>
    <w:pPr>
      <w:keepNext/>
      <w:ind w:right="1657"/>
      <w:outlineLvl w:val="0"/>
    </w:pPr>
    <w:rPr>
      <w:b/>
      <w:bCs/>
      <w:szCs w:val="27"/>
    </w:rPr>
  </w:style>
  <w:style w:type="paragraph" w:styleId="berschrift2">
    <w:name w:val="heading 2"/>
    <w:basedOn w:val="Standard"/>
    <w:next w:val="Standard"/>
    <w:autoRedefine/>
    <w:qFormat/>
    <w:rsid w:val="003A4DC2"/>
    <w:pPr>
      <w:keepNext/>
      <w:ind w:left="851"/>
      <w:outlineLvl w:val="1"/>
    </w:pPr>
    <w:rPr>
      <w:b/>
      <w:bCs/>
    </w:rPr>
  </w:style>
  <w:style w:type="paragraph" w:styleId="berschrift3">
    <w:name w:val="heading 3"/>
    <w:basedOn w:val="Standard"/>
    <w:autoRedefine/>
    <w:qFormat/>
    <w:pPr>
      <w:spacing w:before="100" w:beforeAutospacing="1" w:after="100" w:afterAutospacing="1"/>
      <w:outlineLvl w:val="2"/>
    </w:pPr>
    <w:rPr>
      <w:b/>
      <w:bCs/>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911"/>
      </w:tabs>
      <w:spacing w:after="60"/>
    </w:pPr>
    <w:rPr>
      <w:b/>
    </w:rPr>
  </w:style>
  <w:style w:type="paragraph" w:styleId="Verzeichnis1">
    <w:name w:val="toc 1"/>
    <w:basedOn w:val="Standard"/>
    <w:next w:val="Standard"/>
    <w:autoRedefine/>
    <w:semiHidden/>
    <w:pPr>
      <w:tabs>
        <w:tab w:val="right" w:leader="dot" w:pos="9911"/>
      </w:tabs>
      <w:spacing w:before="60"/>
    </w:pPr>
    <w:rPr>
      <w:b/>
      <w:bCs/>
      <w:noProof/>
      <w:sz w:val="28"/>
      <w:szCs w:val="28"/>
    </w:rPr>
  </w:style>
  <w:style w:type="paragraph" w:styleId="Verzeichnis3">
    <w:name w:val="toc 3"/>
    <w:basedOn w:val="Standard"/>
    <w:next w:val="Standard"/>
    <w:autoRedefine/>
    <w:semiHidden/>
  </w:style>
  <w:style w:type="paragraph" w:styleId="Fuzeile">
    <w:name w:val="footer"/>
    <w:basedOn w:val="Standard"/>
    <w:semiHidden/>
    <w:pPr>
      <w:tabs>
        <w:tab w:val="center" w:pos="4536"/>
        <w:tab w:val="right" w:pos="9072"/>
      </w:tabs>
    </w:pPr>
  </w:style>
  <w:style w:type="paragraph" w:styleId="Textkrper">
    <w:name w:val="Body Text"/>
    <w:basedOn w:val="Standard"/>
    <w:semiHidden/>
    <w:pPr>
      <w:widowControl/>
      <w:autoSpaceDE/>
      <w:autoSpaceDN/>
      <w:adjustRightInd/>
      <w:jc w:val="both"/>
    </w:pPr>
    <w:rPr>
      <w:rFonts w:ascii="Arial" w:hAnsi="Arial" w:cs="Times New Roman"/>
      <w:b/>
      <w:bCs/>
      <w:sz w:val="28"/>
    </w:rPr>
  </w:style>
  <w:style w:type="paragraph" w:styleId="Kopfzeile">
    <w:name w:val="header"/>
    <w:basedOn w:val="Standard"/>
    <w:autoRedefine/>
    <w:semiHidden/>
    <w:pPr>
      <w:spacing w:after="240"/>
      <w:jc w:val="center"/>
    </w:pPr>
  </w:style>
  <w:style w:type="character" w:styleId="Seitenzahl">
    <w:name w:val="page number"/>
    <w:semiHidden/>
    <w:rPr>
      <w:rFonts w:ascii="TheSansOffice" w:hAnsi="TheSansOffice"/>
      <w:color w:val="auto"/>
      <w:sz w:val="24"/>
    </w:rPr>
  </w:style>
  <w:style w:type="character" w:styleId="Hyperlink">
    <w:name w:val="Hyperlink"/>
    <w:semiHidden/>
    <w:rPr>
      <w:color w:val="0000FF"/>
      <w:u w:val="single"/>
    </w:rPr>
  </w:style>
  <w:style w:type="paragraph" w:styleId="Textkrper2">
    <w:name w:val="Body Text 2"/>
    <w:basedOn w:val="Standard"/>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5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dbb.de" TargetMode="External"/><Relationship Id="rId2" Type="http://schemas.openxmlformats.org/officeDocument/2006/relationships/hyperlink" Target="mailto:bundesleitung@dbb.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enbornda\AppData\Local\Microsoft\Windows\Temporary%20Internet%20Files\Content.Outlook\MCNBEDBW\Info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Infovorlage.dot</Template>
  <TotalTime>0</TotalTime>
  <Pages>2</Pages>
  <Words>547</Words>
  <Characters>3802</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An die</vt:lpstr>
    </vt:vector>
  </TitlesOfParts>
  <Company>Deutscher Beamtenbund</Company>
  <LinksUpToDate>false</LinksUpToDate>
  <CharactersWithSpaces>4341</CharactersWithSpaces>
  <SharedDoc>false</SharedDoc>
  <HLinks>
    <vt:vector size="12" baseType="variant">
      <vt:variant>
        <vt:i4>6684793</vt:i4>
      </vt:variant>
      <vt:variant>
        <vt:i4>8</vt:i4>
      </vt:variant>
      <vt:variant>
        <vt:i4>0</vt:i4>
      </vt:variant>
      <vt:variant>
        <vt:i4>5</vt:i4>
      </vt:variant>
      <vt:variant>
        <vt:lpwstr>http://www.dbb.de/</vt:lpwstr>
      </vt:variant>
      <vt:variant>
        <vt:lpwstr/>
      </vt:variant>
      <vt:variant>
        <vt:i4>8257627</vt:i4>
      </vt:variant>
      <vt:variant>
        <vt:i4>5</vt:i4>
      </vt:variant>
      <vt:variant>
        <vt:i4>0</vt:i4>
      </vt:variant>
      <vt:variant>
        <vt:i4>5</vt:i4>
      </vt:variant>
      <vt:variant>
        <vt:lpwstr>mailto:bundesleitung@dbb.de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schoenbornda</dc:creator>
  <cp:keywords/>
  <cp:lastModifiedBy>Aljkanovic, Admira</cp:lastModifiedBy>
  <cp:revision>2</cp:revision>
  <cp:lastPrinted>2024-10-01T14:58:00Z</cp:lastPrinted>
  <dcterms:created xsi:type="dcterms:W3CDTF">2024-12-11T11:50:00Z</dcterms:created>
  <dcterms:modified xsi:type="dcterms:W3CDTF">2024-12-11T11:50:00Z</dcterms:modified>
</cp:coreProperties>
</file>